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DFFA" w14:textId="77777777" w:rsidR="00615829" w:rsidRPr="004B4B23" w:rsidRDefault="00615829" w:rsidP="004B4B2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r w:rsidRPr="004B4B23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  <w:t>Two to Three Years</w:t>
      </w:r>
    </w:p>
    <w:p w14:paraId="33FC5BC1" w14:textId="77777777" w:rsidR="00615829" w:rsidRPr="004B4B23" w:rsidRDefault="00615829" w:rsidP="004B4B2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</w:rPr>
      </w:pPr>
      <w:r w:rsidRPr="004B4B23">
        <w:rPr>
          <w:rFonts w:asciiTheme="majorHAnsi" w:eastAsia="Times New Roman" w:hAnsiTheme="majorHAnsi" w:cstheme="majorHAnsi"/>
          <w:b/>
          <w:bCs/>
          <w:i/>
          <w:iCs/>
        </w:rPr>
        <w:t>Children develop at their own rate. Your child might not have all skills until the end of the age range.</w:t>
      </w:r>
    </w:p>
    <w:p w14:paraId="7358BE19" w14:textId="77777777" w:rsidR="00615829" w:rsidRPr="004B4B23" w:rsidRDefault="00615829" w:rsidP="006158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4B4B23">
        <w:rPr>
          <w:rFonts w:asciiTheme="majorHAnsi" w:eastAsia="Times New Roman" w:hAnsiTheme="majorHAnsi" w:cstheme="majorHAnsi"/>
          <w:b/>
          <w:bCs/>
          <w:sz w:val="36"/>
          <w:szCs w:val="36"/>
        </w:rPr>
        <w:t>What should my child be able to do?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889"/>
      </w:tblGrid>
      <w:tr w:rsidR="00615829" w:rsidRPr="004B4B23" w14:paraId="047B5666" w14:textId="77777777" w:rsidTr="004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1ADC2" w14:textId="77777777" w:rsidR="00615829" w:rsidRPr="004B4B23" w:rsidRDefault="00615829" w:rsidP="007F792D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b/>
                <w:sz w:val="24"/>
                <w:szCs w:val="24"/>
              </w:rPr>
              <w:t>Hearing and Understanding</w:t>
            </w:r>
          </w:p>
        </w:tc>
        <w:tc>
          <w:tcPr>
            <w:tcW w:w="0" w:type="auto"/>
            <w:vAlign w:val="center"/>
            <w:hideMark/>
          </w:tcPr>
          <w:p w14:paraId="3FF3BBE0" w14:textId="77777777" w:rsidR="00615829" w:rsidRPr="004B4B23" w:rsidRDefault="00615829" w:rsidP="007F792D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b/>
                <w:sz w:val="24"/>
                <w:szCs w:val="24"/>
              </w:rPr>
              <w:t>Talking</w:t>
            </w:r>
          </w:p>
        </w:tc>
      </w:tr>
      <w:tr w:rsidR="00615829" w:rsidRPr="004B4B23" w14:paraId="48ACC06B" w14:textId="77777777" w:rsidTr="004B4B23">
        <w:trPr>
          <w:tblCellSpacing w:w="15" w:type="dxa"/>
        </w:trPr>
        <w:tc>
          <w:tcPr>
            <w:tcW w:w="0" w:type="auto"/>
            <w:hideMark/>
          </w:tcPr>
          <w:p w14:paraId="0AAE2840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AE4A2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Understands opposites, like go–stop, big–little, and up–down.</w:t>
            </w:r>
          </w:p>
          <w:p w14:paraId="1231FC56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Follows 2-part directions, like "Get the spoon and put it on the table."</w:t>
            </w:r>
          </w:p>
          <w:p w14:paraId="22AA2EC9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Understands new words quickly.</w:t>
            </w:r>
          </w:p>
        </w:tc>
        <w:tc>
          <w:tcPr>
            <w:tcW w:w="0" w:type="auto"/>
            <w:hideMark/>
          </w:tcPr>
          <w:p w14:paraId="75D189B1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9C3FBE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 xml:space="preserve">Has a word for almost </w:t>
            </w:r>
            <w:proofErr w:type="gramStart"/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everything.</w:t>
            </w:r>
            <w:proofErr w:type="gramEnd"/>
          </w:p>
          <w:p w14:paraId="3F4619FD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Talks about things that are not in the room.</w:t>
            </w:r>
          </w:p>
          <w:p w14:paraId="7F5FE111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Uses 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k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g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f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d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, and 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 in words.</w:t>
            </w:r>
          </w:p>
          <w:p w14:paraId="1C4A3812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 xml:space="preserve">Uses words like 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in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on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 xml:space="preserve">, and </w:t>
            </w:r>
            <w:r w:rsidRPr="004B4B2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under</w:t>
            </w: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6655DDC8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Uses two- or three- words to talk about and ask for things.</w:t>
            </w:r>
          </w:p>
          <w:p w14:paraId="072A3A4B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People who know your child can understand him.</w:t>
            </w:r>
          </w:p>
          <w:p w14:paraId="7A0B13A7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>Asks “Why?”</w:t>
            </w:r>
          </w:p>
          <w:p w14:paraId="15FDE7A7" w14:textId="77777777" w:rsidR="00615829" w:rsidRPr="004B4B23" w:rsidRDefault="00615829" w:rsidP="007F792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4B4B23">
              <w:rPr>
                <w:rFonts w:asciiTheme="majorHAnsi" w:hAnsiTheme="majorHAnsi" w:cstheme="majorHAnsi"/>
                <w:sz w:val="24"/>
                <w:szCs w:val="24"/>
              </w:rPr>
              <w:t xml:space="preserve">Puts 3 words together to talk about things. May repeat some words and sounds. </w:t>
            </w:r>
          </w:p>
        </w:tc>
      </w:tr>
    </w:tbl>
    <w:p w14:paraId="265E9F0A" w14:textId="77777777" w:rsidR="00615829" w:rsidRPr="004B4B23" w:rsidRDefault="00615829" w:rsidP="006158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4B4B23">
        <w:rPr>
          <w:rFonts w:asciiTheme="majorHAnsi" w:eastAsia="Times New Roman" w:hAnsiTheme="majorHAnsi" w:cstheme="majorHAnsi"/>
          <w:b/>
          <w:bCs/>
          <w:sz w:val="36"/>
          <w:szCs w:val="36"/>
        </w:rPr>
        <w:t>What can I do to help?</w:t>
      </w:r>
    </w:p>
    <w:p w14:paraId="17081821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Use short words and sentences. Speak clearly.</w:t>
      </w:r>
    </w:p>
    <w:p w14:paraId="2C926722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Repeat what your child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says,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add to it. If she says, “Pretty flower,” you can say, “Yes, that is a pretty flower. The flower is bright red. It smells good too. Do you want to smell the flower?”</w:t>
      </w:r>
    </w:p>
    <w:p w14:paraId="078B3F39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Let your child know that what he says is important to you. Ask him to repeat things that you do not understand. For example, say, “I know you want a block. Tell me which block you want.”</w:t>
      </w:r>
    </w:p>
    <w:p w14:paraId="04052635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Teach your child new words. Reading is a great way to do this. Read books with short sentences on each page.</w:t>
      </w:r>
    </w:p>
    <w:p w14:paraId="54977115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Talk about colors and shapes.</w:t>
      </w:r>
    </w:p>
    <w:p w14:paraId="50DA0473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Practice counting. Count toes and fingers. Count steps.</w:t>
      </w:r>
    </w:p>
    <w:p w14:paraId="56E9971A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Name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objects,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talk about the picture on each page of a book. Use words that are similar, like </w:t>
      </w:r>
      <w:r w:rsidRPr="004B4B23">
        <w:rPr>
          <w:rFonts w:asciiTheme="majorHAnsi" w:eastAsia="Times New Roman" w:hAnsiTheme="majorHAnsi" w:cstheme="majorHAnsi"/>
          <w:i/>
          <w:iCs/>
          <w:sz w:val="24"/>
          <w:szCs w:val="24"/>
        </w:rPr>
        <w:t>mommy</w:t>
      </w: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4B4B23">
        <w:rPr>
          <w:rFonts w:asciiTheme="majorHAnsi" w:eastAsia="Times New Roman" w:hAnsiTheme="majorHAnsi" w:cstheme="majorHAnsi"/>
          <w:i/>
          <w:iCs/>
          <w:sz w:val="24"/>
          <w:szCs w:val="24"/>
        </w:rPr>
        <w:t>woman</w:t>
      </w: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4B4B23">
        <w:rPr>
          <w:rFonts w:asciiTheme="majorHAnsi" w:eastAsia="Times New Roman" w:hAnsiTheme="majorHAnsi" w:cstheme="majorHAnsi"/>
          <w:i/>
          <w:iCs/>
          <w:sz w:val="24"/>
          <w:szCs w:val="24"/>
        </w:rPr>
        <w:t>lady</w:t>
      </w: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4B4B23">
        <w:rPr>
          <w:rFonts w:asciiTheme="majorHAnsi" w:eastAsia="Times New Roman" w:hAnsiTheme="majorHAnsi" w:cstheme="majorHAnsi"/>
          <w:i/>
          <w:iCs/>
          <w:sz w:val="24"/>
          <w:szCs w:val="24"/>
        </w:rPr>
        <w:t>grown-up</w:t>
      </w: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4B4B23">
        <w:rPr>
          <w:rFonts w:asciiTheme="majorHAnsi" w:eastAsia="Times New Roman" w:hAnsiTheme="majorHAnsi" w:cstheme="majorHAnsi"/>
          <w:i/>
          <w:iCs/>
          <w:sz w:val="24"/>
          <w:szCs w:val="24"/>
        </w:rPr>
        <w:t>adult</w:t>
      </w:r>
      <w:r w:rsidRPr="004B4B23">
        <w:rPr>
          <w:rFonts w:asciiTheme="majorHAnsi" w:eastAsia="Times New Roman" w:hAnsiTheme="majorHAnsi" w:cstheme="majorHAnsi"/>
          <w:sz w:val="24"/>
          <w:szCs w:val="24"/>
        </w:rPr>
        <w:t>. Use new words in sentences to help your child learn the meaning.</w:t>
      </w:r>
    </w:p>
    <w:p w14:paraId="5A56ACCA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Put objects into a bucket. Let your child remove them one at a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time,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say its name. Repeat what she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says,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add to it. Help her group the objects into categories, like clothes, food, animals.</w:t>
      </w:r>
    </w:p>
    <w:p w14:paraId="4A2FB43F" w14:textId="77777777" w:rsidR="007F792D" w:rsidRPr="004B4B23" w:rsidRDefault="007F792D" w:rsidP="007F792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322C030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Cut out pictures from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magazines,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make a scrapbook. Help your child glue the pictures into the scrapbook. Name the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pictures,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talk about how you use them.</w:t>
      </w:r>
    </w:p>
    <w:p w14:paraId="0733A91D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Look at family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photos,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name the people. Talk about what they are doing in the picture.</w:t>
      </w:r>
    </w:p>
    <w:p w14:paraId="63EB6F6F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Write simple phrases under the pictures. For example, “I can swim,” or “Happy birthday to Daddy.” Your child will start to understand that the letters mean something.</w:t>
      </w:r>
    </w:p>
    <w:p w14:paraId="5A1EF47A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Ask your child to make a choice instead of giving a “yes” or “no” answer. For example, rather than asking, “Do you want milk?” ask, “Would you like milk or water?” Be sure to wait for the </w:t>
      </w:r>
      <w:proofErr w:type="gramStart"/>
      <w:r w:rsidRPr="004B4B23">
        <w:rPr>
          <w:rFonts w:asciiTheme="majorHAnsi" w:eastAsia="Times New Roman" w:hAnsiTheme="majorHAnsi" w:cstheme="majorHAnsi"/>
          <w:sz w:val="24"/>
          <w:szCs w:val="24"/>
        </w:rPr>
        <w:t>answer, and</w:t>
      </w:r>
      <w:proofErr w:type="gramEnd"/>
      <w:r w:rsidRPr="004B4B23">
        <w:rPr>
          <w:rFonts w:asciiTheme="majorHAnsi" w:eastAsia="Times New Roman" w:hAnsiTheme="majorHAnsi" w:cstheme="majorHAnsi"/>
          <w:sz w:val="24"/>
          <w:szCs w:val="24"/>
        </w:rPr>
        <w:t xml:space="preserve"> praise him for answering. You can say, “Thank you for telling mommy what you want. Mommy will get you a glass of milk.”</w:t>
      </w:r>
    </w:p>
    <w:p w14:paraId="7095CF86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Sing songs, play finger games, and tell nursery rhymes. These songs and games teach your child about the rhythm and sounds of language.</w:t>
      </w:r>
    </w:p>
    <w:p w14:paraId="3E473467" w14:textId="77777777" w:rsidR="00615829" w:rsidRPr="004B4B23" w:rsidRDefault="0061582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B4B23">
        <w:rPr>
          <w:rFonts w:asciiTheme="majorHAnsi" w:eastAsia="Times New Roman" w:hAnsiTheme="majorHAnsi" w:cstheme="majorHAnsi"/>
          <w:sz w:val="24"/>
          <w:szCs w:val="24"/>
        </w:rPr>
        <w:t>Talk to your child in the language you are most comfortable using.</w:t>
      </w:r>
    </w:p>
    <w:p w14:paraId="4CB21C79" w14:textId="266AA16E" w:rsidR="008E3B2D" w:rsidRDefault="008E3B2D">
      <w:pPr>
        <w:rPr>
          <w:rFonts w:asciiTheme="majorHAnsi" w:hAnsiTheme="majorHAnsi" w:cstheme="majorHAnsi"/>
          <w:sz w:val="24"/>
          <w:szCs w:val="24"/>
        </w:rPr>
      </w:pPr>
    </w:p>
    <w:p w14:paraId="63BFCE87" w14:textId="5062FB84" w:rsidR="004B4B23" w:rsidRDefault="004B4B23">
      <w:pPr>
        <w:rPr>
          <w:rFonts w:asciiTheme="majorHAnsi" w:hAnsiTheme="majorHAnsi" w:cstheme="majorHAnsi"/>
          <w:sz w:val="24"/>
          <w:szCs w:val="24"/>
        </w:rPr>
      </w:pPr>
    </w:p>
    <w:p w14:paraId="0057D511" w14:textId="4495A60C" w:rsidR="004B4B23" w:rsidRDefault="004B4B23">
      <w:pPr>
        <w:rPr>
          <w:rFonts w:asciiTheme="majorHAnsi" w:hAnsiTheme="majorHAnsi" w:cstheme="majorHAnsi"/>
          <w:sz w:val="24"/>
          <w:szCs w:val="24"/>
        </w:rPr>
      </w:pPr>
    </w:p>
    <w:p w14:paraId="3C0FEF08" w14:textId="4A51D182" w:rsidR="004B4B23" w:rsidRDefault="004B4B23">
      <w:pPr>
        <w:rPr>
          <w:rFonts w:asciiTheme="majorHAnsi" w:hAnsiTheme="majorHAnsi" w:cstheme="majorHAnsi"/>
          <w:sz w:val="24"/>
          <w:szCs w:val="24"/>
        </w:rPr>
      </w:pPr>
    </w:p>
    <w:p w14:paraId="3FDF4CA1" w14:textId="748BA59C" w:rsidR="004B4B23" w:rsidRDefault="004B4B23">
      <w:pPr>
        <w:rPr>
          <w:rFonts w:asciiTheme="majorHAnsi" w:hAnsiTheme="majorHAnsi" w:cstheme="majorHAnsi"/>
          <w:sz w:val="24"/>
          <w:szCs w:val="24"/>
        </w:rPr>
      </w:pPr>
    </w:p>
    <w:p w14:paraId="522FEE41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47E71A64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10233994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59742838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6F0E26FE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0E7AE88D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319D5A96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793435C4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035D8BAC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14F10109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26584FA7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3076EC67" w14:textId="7CC17FFF" w:rsidR="004B4B23" w:rsidRDefault="004B4B23" w:rsidP="004B4B23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From </w:t>
      </w:r>
      <w:hyperlink r:id="rId7" w:history="1">
        <w:r>
          <w:rPr>
            <w:rStyle w:val="Hyperlink"/>
            <w:sz w:val="20"/>
            <w:szCs w:val="20"/>
          </w:rPr>
          <w:t>www.asha.org</w:t>
        </w:r>
      </w:hyperlink>
      <w:r>
        <w:rPr>
          <w:sz w:val="20"/>
          <w:szCs w:val="20"/>
        </w:rPr>
        <w:t xml:space="preserve">. The American Speech-Language-Hearing Association (ASHA) is the national professional, scientific, and credentialing association for 198,000 members and affiliates who are </w:t>
      </w:r>
      <w:proofErr w:type="gramStart"/>
      <w:r>
        <w:rPr>
          <w:sz w:val="20"/>
          <w:szCs w:val="20"/>
        </w:rPr>
        <w:t>audiologists;</w:t>
      </w:r>
      <w:proofErr w:type="gramEnd"/>
    </w:p>
    <w:p w14:paraId="5D57FCDD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speech-language pathologists; speech, language, and hearing </w:t>
      </w:r>
      <w:proofErr w:type="gramStart"/>
      <w:r>
        <w:rPr>
          <w:sz w:val="20"/>
          <w:szCs w:val="20"/>
        </w:rPr>
        <w:t>scientists;</w:t>
      </w:r>
      <w:proofErr w:type="gramEnd"/>
      <w:r>
        <w:rPr>
          <w:sz w:val="20"/>
          <w:szCs w:val="20"/>
        </w:rPr>
        <w:t xml:space="preserve"> </w:t>
      </w:r>
    </w:p>
    <w:p w14:paraId="138C9523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audiology and speech-language pathology support personnel; and students.</w:t>
      </w:r>
    </w:p>
    <w:p w14:paraId="134213F1" w14:textId="77777777" w:rsidR="004B4B23" w:rsidRDefault="004B4B23" w:rsidP="004B4B23">
      <w:pPr>
        <w:pStyle w:val="Footer"/>
        <w:jc w:val="center"/>
        <w:rPr>
          <w:sz w:val="20"/>
          <w:szCs w:val="20"/>
        </w:rPr>
      </w:pPr>
    </w:p>
    <w:p w14:paraId="2C5D4BCE" w14:textId="77777777" w:rsidR="004B4B23" w:rsidRPr="004B4B23" w:rsidRDefault="004B4B23">
      <w:pPr>
        <w:rPr>
          <w:rFonts w:asciiTheme="majorHAnsi" w:hAnsiTheme="majorHAnsi" w:cstheme="majorHAnsi"/>
          <w:sz w:val="24"/>
          <w:szCs w:val="24"/>
        </w:rPr>
      </w:pPr>
    </w:p>
    <w:sectPr w:rsidR="004B4B23" w:rsidRPr="004B4B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2906" w14:textId="77777777" w:rsidR="008F1985" w:rsidRDefault="008F1985" w:rsidP="00615829">
      <w:pPr>
        <w:spacing w:after="0" w:line="240" w:lineRule="auto"/>
      </w:pPr>
      <w:r>
        <w:separator/>
      </w:r>
    </w:p>
  </w:endnote>
  <w:endnote w:type="continuationSeparator" w:id="0">
    <w:p w14:paraId="21CD53C3" w14:textId="77777777" w:rsidR="008F1985" w:rsidRDefault="008F1985" w:rsidP="0061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B36A" w14:textId="7532578E" w:rsidR="00615829" w:rsidRPr="00615829" w:rsidRDefault="00615829" w:rsidP="00615829">
    <w:pPr>
      <w:pStyle w:val="Footer"/>
    </w:pPr>
  </w:p>
  <w:p w14:paraId="32EF9F88" w14:textId="1E9F3D70" w:rsidR="00615829" w:rsidRDefault="00615829">
    <w:pPr>
      <w:pStyle w:val="Footer"/>
    </w:pPr>
  </w:p>
  <w:p w14:paraId="2DC7FCD3" w14:textId="77777777" w:rsidR="00615829" w:rsidRDefault="0061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C7CE" w14:textId="77777777" w:rsidR="008F1985" w:rsidRDefault="008F1985" w:rsidP="00615829">
      <w:pPr>
        <w:spacing w:after="0" w:line="240" w:lineRule="auto"/>
      </w:pPr>
      <w:r>
        <w:separator/>
      </w:r>
    </w:p>
  </w:footnote>
  <w:footnote w:type="continuationSeparator" w:id="0">
    <w:p w14:paraId="613BF394" w14:textId="77777777" w:rsidR="008F1985" w:rsidRDefault="008F1985" w:rsidP="0061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3E35"/>
    <w:multiLevelType w:val="multilevel"/>
    <w:tmpl w:val="732A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91FD9"/>
    <w:multiLevelType w:val="multilevel"/>
    <w:tmpl w:val="EF5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552CE"/>
    <w:multiLevelType w:val="multilevel"/>
    <w:tmpl w:val="D63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29"/>
    <w:rsid w:val="004B4B23"/>
    <w:rsid w:val="00615829"/>
    <w:rsid w:val="007F792D"/>
    <w:rsid w:val="008E3B2D"/>
    <w:rsid w:val="008F1985"/>
    <w:rsid w:val="00E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CDD"/>
  <w15:chartTrackingRefBased/>
  <w15:docId w15:val="{AB4A0D8C-C9B2-47AA-9588-E6599747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29"/>
  </w:style>
  <w:style w:type="paragraph" w:styleId="Footer">
    <w:name w:val="footer"/>
    <w:basedOn w:val="Normal"/>
    <w:link w:val="FooterChar"/>
    <w:uiPriority w:val="99"/>
    <w:unhideWhenUsed/>
    <w:rsid w:val="006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29"/>
  </w:style>
  <w:style w:type="paragraph" w:styleId="BalloonText">
    <w:name w:val="Balloon Text"/>
    <w:basedOn w:val="Normal"/>
    <w:link w:val="BalloonTextChar"/>
    <w:uiPriority w:val="99"/>
    <w:semiHidden/>
    <w:unhideWhenUsed/>
    <w:rsid w:val="007F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92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4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Leslie Alexander</cp:lastModifiedBy>
  <cp:revision>3</cp:revision>
  <cp:lastPrinted>2018-08-16T19:43:00Z</cp:lastPrinted>
  <dcterms:created xsi:type="dcterms:W3CDTF">2018-08-16T19:37:00Z</dcterms:created>
  <dcterms:modified xsi:type="dcterms:W3CDTF">2020-09-23T13:50:00Z</dcterms:modified>
</cp:coreProperties>
</file>